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8"/>
        </w:rPr>
        <w:t>УМХАБ  /  ШАБЛОН ДЛЯ АВТОРА</w:t>
      </w:r>
    </w:p>
    <w:p>
      <w:pPr>
        <w:pStyle w:val="Title"/>
      </w:pPr>
      <w:r>
        <w:t>Сценарий видеоурока</w:t>
      </w:r>
    </w:p>
    <w:p>
      <w:r>
        <w:t>Один урок помогает выполнить одно действие. Отделите текст объяснения от того, что зритель видит на экране. На второй странице — редактируемая заготовка для пробной записи.</w:t>
      </w:r>
    </w:p>
    <w:p>
      <w:pPr>
        <w:pStyle w:val="Heading1"/>
      </w:pPr>
      <w:r>
        <w:t>Пример урока про свет</w:t>
      </w:r>
    </w:p>
    <w:p>
      <w:r>
        <w:rPr>
          <w:b/>
        </w:rPr>
        <w:t xml:space="preserve">Результат  </w:t>
      </w:r>
      <w:r>
        <w:t>Ученик делает два снимка товара с разным положением относительно окна и выбирает более читаемый.</w:t>
      </w:r>
    </w:p>
    <w:p>
      <w:r>
        <w:rPr>
          <w:b/>
        </w:rPr>
        <w:t xml:space="preserve">Материалы  </w:t>
      </w:r>
      <w:r>
        <w:t>Телефон, предмет, окно, спокойный фон.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3969"/>
        <w:gridCol w:w="3685"/>
      </w:tblGrid>
      <w:tr>
        <w:trPr>
          <w:tblHeader/>
          <w:cantSplit/>
        </w:trPr>
        <w:tc>
          <w:tcPr>
            <w:tcW w:type="dxa" w:w="1984"/>
            <w:shd w:fill="EDF2E9"/>
          </w:tcPr>
          <w:p>
            <w:pPr>
              <w:spacing w:after="100" w:before="100"/>
            </w:pPr>
            <w:r>
              <w:rPr>
                <w:b/>
                <w:sz w:val="20"/>
              </w:rPr>
              <w:t>Часть</w:t>
            </w:r>
          </w:p>
        </w:tc>
        <w:tc>
          <w:tcPr>
            <w:tcW w:type="dxa" w:w="3969"/>
            <w:shd w:fill="EDF2E9"/>
          </w:tcPr>
          <w:p>
            <w:pPr>
              <w:spacing w:after="100" w:before="100"/>
            </w:pPr>
            <w:r>
              <w:rPr>
                <w:b/>
                <w:sz w:val="20"/>
              </w:rPr>
              <w:t>Что говорим</w:t>
            </w:r>
          </w:p>
        </w:tc>
        <w:tc>
          <w:tcPr>
            <w:tcW w:type="dxa" w:w="3685"/>
            <w:shd w:fill="EDF2E9"/>
          </w:tcPr>
          <w:p>
            <w:pPr>
              <w:spacing w:after="100" w:before="100"/>
            </w:pPr>
            <w:r>
              <w:rPr>
                <w:b/>
                <w:sz w:val="20"/>
              </w:rPr>
              <w:t>Что показываем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100" w:before="100"/>
            </w:pPr>
            <w:r>
              <w:rPr>
                <w:sz w:val="20"/>
              </w:rPr>
              <w:t>0:00–0:30</w:t>
              <w:br/>
              <w:t>Задача</w:t>
            </w:r>
          </w:p>
        </w:tc>
        <w:tc>
          <w:tcPr>
            <w:tcW w:type="dxa" w:w="3969"/>
          </w:tcPr>
          <w:p>
            <w:pPr>
              <w:spacing w:after="100" w:before="100"/>
            </w:pPr>
            <w:r>
              <w:rPr>
                <w:sz w:val="20"/>
              </w:rPr>
              <w:t>Сравним два снимка и найдём, где лучше видна фактура.</w:t>
            </w:r>
          </w:p>
        </w:tc>
        <w:tc>
          <w:tcPr>
            <w:tcW w:type="dxa" w:w="3685"/>
          </w:tcPr>
          <w:p>
            <w:pPr>
              <w:spacing w:after="100" w:before="100"/>
            </w:pPr>
            <w:r>
              <w:rPr>
                <w:sz w:val="20"/>
              </w:rPr>
              <w:t>Два кадра одного предмета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100" w:before="100"/>
            </w:pPr>
            <w:r>
              <w:rPr>
                <w:sz w:val="20"/>
              </w:rPr>
              <w:t>0:30–1:30</w:t>
              <w:br/>
              <w:t>Объяснение</w:t>
            </w:r>
          </w:p>
        </w:tc>
        <w:tc>
          <w:tcPr>
            <w:tcW w:type="dxa" w:w="3969"/>
          </w:tcPr>
          <w:p>
            <w:pPr>
              <w:spacing w:after="100" w:before="100"/>
            </w:pPr>
            <w:r>
              <w:rPr>
                <w:sz w:val="20"/>
              </w:rPr>
              <w:t>Меняем положение предмета и наблюдаем тень.</w:t>
            </w:r>
          </w:p>
        </w:tc>
        <w:tc>
          <w:tcPr>
            <w:tcW w:type="dxa" w:w="3685"/>
          </w:tcPr>
          <w:p>
            <w:pPr>
              <w:spacing w:after="100" w:before="100"/>
            </w:pPr>
            <w:r>
              <w:rPr>
                <w:sz w:val="20"/>
              </w:rPr>
              <w:t>Предмет сбоку и напротив окна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100" w:before="100"/>
            </w:pPr>
            <w:r>
              <w:rPr>
                <w:sz w:val="20"/>
              </w:rPr>
              <w:t>1:30–4:00</w:t>
              <w:br/>
              <w:t>Показ</w:t>
            </w:r>
          </w:p>
        </w:tc>
        <w:tc>
          <w:tcPr>
            <w:tcW w:type="dxa" w:w="3969"/>
          </w:tcPr>
          <w:p>
            <w:pPr>
              <w:spacing w:after="100" w:before="100"/>
            </w:pPr>
            <w:r>
              <w:rPr>
                <w:sz w:val="20"/>
              </w:rPr>
              <w:t>Делаем два кадра. Остальные условия оставляем одинаковыми.</w:t>
            </w:r>
          </w:p>
        </w:tc>
        <w:tc>
          <w:tcPr>
            <w:tcW w:type="dxa" w:w="3685"/>
          </w:tcPr>
          <w:p>
            <w:pPr>
              <w:spacing w:after="100" w:before="100"/>
            </w:pPr>
            <w:r>
              <w:rPr>
                <w:sz w:val="20"/>
              </w:rPr>
              <w:t>Действия руками и снимки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100" w:before="100"/>
            </w:pPr>
            <w:r>
              <w:rPr>
                <w:sz w:val="20"/>
              </w:rPr>
              <w:t>4:00–5:00</w:t>
              <w:br/>
              <w:t>Практика</w:t>
            </w:r>
          </w:p>
        </w:tc>
        <w:tc>
          <w:tcPr>
            <w:tcW w:type="dxa" w:w="3969"/>
          </w:tcPr>
          <w:p>
            <w:pPr>
              <w:spacing w:after="100" w:before="100"/>
            </w:pPr>
            <w:r>
              <w:rPr>
                <w:sz w:val="20"/>
              </w:rPr>
              <w:t>Поставьте видео на паузу и повторите два положения.</w:t>
            </w:r>
          </w:p>
        </w:tc>
        <w:tc>
          <w:tcPr>
            <w:tcW w:type="dxa" w:w="3685"/>
          </w:tcPr>
          <w:p>
            <w:pPr>
              <w:spacing w:after="100" w:before="100"/>
            </w:pPr>
            <w:r>
              <w:rPr>
                <w:sz w:val="20"/>
              </w:rPr>
              <w:t>Короткая инструкция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100" w:before="100"/>
            </w:pPr>
            <w:r>
              <w:rPr>
                <w:sz w:val="20"/>
              </w:rPr>
              <w:t>5:00–6:00</w:t>
              <w:br/>
              <w:t>Проверка</w:t>
            </w:r>
          </w:p>
        </w:tc>
        <w:tc>
          <w:tcPr>
            <w:tcW w:type="dxa" w:w="3969"/>
          </w:tcPr>
          <w:p>
            <w:pPr>
              <w:spacing w:after="100" w:before="100"/>
            </w:pPr>
            <w:r>
              <w:rPr>
                <w:sz w:val="20"/>
              </w:rPr>
              <w:t>Выберите кадр: видна ли форма, резок ли предмет, спокоен ли фон?</w:t>
            </w:r>
          </w:p>
        </w:tc>
        <w:tc>
          <w:tcPr>
            <w:tcW w:type="dxa" w:w="3685"/>
          </w:tcPr>
          <w:p>
            <w:pPr>
              <w:spacing w:after="100" w:before="100"/>
            </w:pPr>
            <w:r>
              <w:rPr>
                <w:sz w:val="20"/>
              </w:rPr>
              <w:t>Критерии и пример сравнения</w:t>
            </w:r>
          </w:p>
        </w:tc>
      </w:tr>
    </w:tbl>
    <w:p/>
    <w:p>
      <w:r>
        <w:t>Тайминг — ориентир для пробной записи, а не обязательная длительность. Время самостоятельной практики в него не входит.</w:t>
      </w:r>
    </w:p>
    <w:p>
      <w:r>
        <w:br w:type="page"/>
      </w:r>
    </w:p>
    <w:p>
      <w:pPr>
        <w:pStyle w:val="Heading1"/>
      </w:pPr>
      <w:r>
        <w:t>Сценарий вашего урока</w:t>
      </w:r>
    </w:p>
    <w:p>
      <w:r>
        <w:rPr>
          <w:b/>
        </w:rPr>
        <w:t xml:space="preserve">Название  </w:t>
      </w:r>
      <w:r>
        <w:t>[Заполните]</w:t>
      </w:r>
    </w:p>
    <w:p>
      <w:r>
        <w:rPr>
          <w:b/>
        </w:rPr>
        <w:t xml:space="preserve">Одно действие после урока  </w:t>
      </w:r>
      <w:r>
        <w:t>[Заполните]</w:t>
      </w:r>
    </w:p>
    <w:p>
      <w:r>
        <w:rPr>
          <w:b/>
        </w:rPr>
        <w:t xml:space="preserve">Что ученик уже умеет  </w:t>
      </w:r>
      <w:r>
        <w:t>[Заполните]</w:t>
      </w:r>
    </w:p>
    <w:p>
      <w:r>
        <w:rPr>
          <w:b/>
        </w:rPr>
        <w:t xml:space="preserve">Материалы для практики  </w:t>
      </w:r>
      <w:r>
        <w:t>[Заполните]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3969"/>
        <w:gridCol w:w="3685"/>
      </w:tblGrid>
      <w:tr>
        <w:trPr>
          <w:tblHeader/>
          <w:cantSplit/>
        </w:trPr>
        <w:tc>
          <w:tcPr>
            <w:tcW w:type="dxa" w:w="1984"/>
            <w:shd w:fill="EDF2E9"/>
          </w:tcPr>
          <w:p>
            <w:pPr>
              <w:spacing w:after="100" w:before="100"/>
            </w:pPr>
            <w:r>
              <w:rPr>
                <w:b/>
                <w:sz w:val="20"/>
              </w:rPr>
              <w:t>Часть и время</w:t>
            </w:r>
          </w:p>
        </w:tc>
        <w:tc>
          <w:tcPr>
            <w:tcW w:type="dxa" w:w="3969"/>
            <w:shd w:fill="EDF2E9"/>
          </w:tcPr>
          <w:p>
            <w:pPr>
              <w:spacing w:after="100" w:before="100"/>
            </w:pPr>
            <w:r>
              <w:rPr>
                <w:b/>
                <w:sz w:val="20"/>
              </w:rPr>
              <w:t>Текст или тезисы</w:t>
            </w:r>
          </w:p>
        </w:tc>
        <w:tc>
          <w:tcPr>
            <w:tcW w:type="dxa" w:w="3685"/>
            <w:shd w:fill="EDF2E9"/>
          </w:tcPr>
          <w:p>
            <w:pPr>
              <w:spacing w:after="100" w:before="100"/>
            </w:pPr>
            <w:r>
              <w:rPr>
                <w:b/>
                <w:sz w:val="20"/>
              </w:rPr>
              <w:t>Экран и действие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100" w:before="100"/>
            </w:pPr>
            <w:r>
              <w:rPr>
                <w:sz w:val="20"/>
              </w:rPr>
              <w:t>Задача</w:t>
            </w:r>
          </w:p>
        </w:tc>
        <w:tc>
          <w:tcPr>
            <w:tcW w:type="dxa" w:w="3969"/>
          </w:tcPr>
          <w:p>
            <w:pPr>
              <w:spacing w:after="100" w:before="100"/>
            </w:pPr>
            <w:r>
              <w:rPr>
                <w:sz w:val="20"/>
              </w:rPr>
              <w:t>[Зачем делать]</w:t>
            </w:r>
          </w:p>
        </w:tc>
        <w:tc>
          <w:tcPr>
            <w:tcW w:type="dxa" w:w="3685"/>
          </w:tcPr>
          <w:p>
            <w:pPr>
              <w:spacing w:after="100" w:before="100"/>
            </w:pPr>
            <w:r>
              <w:rPr>
                <w:sz w:val="20"/>
              </w:rPr>
              <w:t>[Пример результата]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100" w:before="100"/>
            </w:pPr>
            <w:r>
              <w:rPr>
                <w:sz w:val="20"/>
              </w:rPr>
              <w:t>Объяснение</w:t>
            </w:r>
          </w:p>
        </w:tc>
        <w:tc>
          <w:tcPr>
            <w:tcW w:type="dxa" w:w="3969"/>
          </w:tcPr>
          <w:p>
            <w:pPr>
              <w:spacing w:after="100" w:before="100"/>
            </w:pPr>
            <w:r>
              <w:rPr>
                <w:sz w:val="20"/>
              </w:rPr>
              <w:t>[Нужные понятия]</w:t>
            </w:r>
          </w:p>
        </w:tc>
        <w:tc>
          <w:tcPr>
            <w:tcW w:type="dxa" w:w="3685"/>
          </w:tcPr>
          <w:p>
            <w:pPr>
              <w:spacing w:after="100" w:before="100"/>
            </w:pPr>
            <w:r>
              <w:rPr>
                <w:sz w:val="20"/>
              </w:rPr>
              <w:t>[Схема или пример]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100" w:before="100"/>
            </w:pPr>
            <w:r>
              <w:rPr>
                <w:sz w:val="20"/>
              </w:rPr>
              <w:t>Показ</w:t>
            </w:r>
          </w:p>
        </w:tc>
        <w:tc>
          <w:tcPr>
            <w:tcW w:type="dxa" w:w="3969"/>
          </w:tcPr>
          <w:p>
            <w:pPr>
              <w:spacing w:after="100" w:before="100"/>
            </w:pPr>
            <w:r>
              <w:rPr>
                <w:sz w:val="20"/>
              </w:rPr>
              <w:t>[Шаги и ошибки]</w:t>
            </w:r>
          </w:p>
        </w:tc>
        <w:tc>
          <w:tcPr>
            <w:tcW w:type="dxa" w:w="3685"/>
          </w:tcPr>
          <w:p>
            <w:pPr>
              <w:spacing w:after="100" w:before="100"/>
            </w:pPr>
            <w:r>
              <w:rPr>
                <w:sz w:val="20"/>
              </w:rPr>
              <w:t>[Демонстрация]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100" w:before="100"/>
            </w:pPr>
            <w:r>
              <w:rPr>
                <w:sz w:val="20"/>
              </w:rPr>
              <w:t>Практика</w:t>
            </w:r>
          </w:p>
        </w:tc>
        <w:tc>
          <w:tcPr>
            <w:tcW w:type="dxa" w:w="3969"/>
          </w:tcPr>
          <w:p>
            <w:pPr>
              <w:spacing w:after="100" w:before="100"/>
            </w:pPr>
            <w:r>
              <w:rPr>
                <w:sz w:val="20"/>
              </w:rPr>
              <w:t>[Что повторить]</w:t>
            </w:r>
          </w:p>
        </w:tc>
        <w:tc>
          <w:tcPr>
            <w:tcW w:type="dxa" w:w="3685"/>
          </w:tcPr>
          <w:p>
            <w:pPr>
              <w:spacing w:after="100" w:before="100"/>
            </w:pPr>
            <w:r>
              <w:rPr>
                <w:sz w:val="20"/>
              </w:rPr>
              <w:t>[Инструкция]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100" w:before="100"/>
            </w:pPr>
            <w:r>
              <w:rPr>
                <w:sz w:val="20"/>
              </w:rPr>
              <w:t>Самопроверка</w:t>
            </w:r>
          </w:p>
        </w:tc>
        <w:tc>
          <w:tcPr>
            <w:tcW w:type="dxa" w:w="3969"/>
          </w:tcPr>
          <w:p>
            <w:pPr>
              <w:spacing w:after="100" w:before="100"/>
            </w:pPr>
            <w:r>
              <w:rPr>
                <w:sz w:val="20"/>
              </w:rPr>
              <w:t>[Критерии]</w:t>
            </w:r>
          </w:p>
        </w:tc>
        <w:tc>
          <w:tcPr>
            <w:tcW w:type="dxa" w:w="3685"/>
          </w:tcPr>
          <w:p>
            <w:pPr>
              <w:spacing w:after="100" w:before="100"/>
            </w:pPr>
            <w:r>
              <w:rPr>
                <w:sz w:val="20"/>
              </w:rPr>
              <w:t>[Сравнение]</w:t>
            </w:r>
          </w:p>
        </w:tc>
      </w:tr>
    </w:tbl>
    <w:p/>
    <w:p>
      <w:r>
        <w:rPr>
          <w:b/>
        </w:rPr>
        <w:t xml:space="preserve">Если не получилось  </w:t>
      </w:r>
      <w:r>
        <w:t>[Что изменить и попробовать снова]</w:t>
      </w:r>
    </w:p>
    <w:p>
      <w:pPr>
        <w:pStyle w:val="Heading2"/>
      </w:pPr>
      <w:r>
        <w:t>Перед публикацией</w:t>
      </w:r>
    </w:p>
    <w:p>
      <w:r>
        <w:t>□ Текст и элементы экрана читаются на телефоне.</w:t>
      </w:r>
    </w:p>
    <w:p>
      <w:r>
        <w:t>□ Звук понятен, личные данные в запись не попали.</w:t>
      </w:r>
    </w:p>
    <w:p>
      <w:r>
        <w:t>□ После объяснения есть конкретное задание.</w:t>
      </w:r>
    </w:p>
    <w:p>
      <w:r>
        <w:t>□ Ссылка на материал открывается у ученика.</w:t>
      </w:r>
    </w:p>
    <w:p>
      <w:r>
        <w:t>Перенесите готовую программу в свой курс: https://umhub.ru/create?source=platform</w:t>
      </w:r>
    </w:p>
    <w:p>
      <w:r>
        <w:t>Открытый практикум и другие шаблоны: https://umhub.ru/templates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1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Сценарий видеоурока</dc:title>
  <dc:subject>Практический шаблон для автора онлайн-курса</dc:subject>
  <dc:creator>Умхаб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